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jc w:val="center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794"/>
        <w:gridCol w:w="1843"/>
        <w:gridCol w:w="1134"/>
        <w:gridCol w:w="567"/>
        <w:gridCol w:w="1134"/>
        <w:gridCol w:w="1383"/>
      </w:tblGrid>
      <w:tr w:rsidR="00F562F1" w:rsidTr="002E0E63">
        <w:trPr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BDD6EE"/>
            <w:tcMar>
              <w:left w:w="70" w:type="dxa"/>
            </w:tcMar>
          </w:tcPr>
          <w:p w:rsidR="00F562F1" w:rsidRDefault="00F3421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2F1" w:rsidTr="002E0E63">
        <w:trPr>
          <w:trHeight w:val="340"/>
          <w:jc w:val="center"/>
        </w:trPr>
        <w:tc>
          <w:tcPr>
            <w:tcW w:w="379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70" w:type="dxa"/>
            </w:tcMar>
            <w:vAlign w:val="center"/>
          </w:tcPr>
          <w:p w:rsidR="00F562F1" w:rsidRDefault="00F34216" w:rsidP="002E0E63">
            <w:pPr>
              <w:rPr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6061" w:type="dxa"/>
            <w:gridSpan w:val="5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62F1" w:rsidRDefault="00F34216" w:rsidP="002E0E63">
            <w:r>
              <w:t xml:space="preserve">Úvod do teorie </w:t>
            </w:r>
            <w:proofErr w:type="spellStart"/>
            <w:r>
              <w:t>semigrup</w:t>
            </w:r>
            <w:proofErr w:type="spellEnd"/>
          </w:p>
        </w:tc>
      </w:tr>
      <w:tr w:rsidR="00F562F1" w:rsidTr="002E0E63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70" w:type="dxa"/>
            </w:tcMar>
            <w:vAlign w:val="center"/>
          </w:tcPr>
          <w:p w:rsidR="00F562F1" w:rsidRDefault="00F34216" w:rsidP="002E0E63">
            <w:pPr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62F1" w:rsidRDefault="002E0E63" w:rsidP="002E0E63">
            <w:r>
              <w:t>P</w:t>
            </w:r>
            <w:r w:rsidR="00F34216">
              <w:t>ovinně volitelný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70" w:type="dxa"/>
            </w:tcMar>
            <w:vAlign w:val="center"/>
          </w:tcPr>
          <w:p w:rsidR="00F562F1" w:rsidRDefault="002E0E63" w:rsidP="002E0E63">
            <w:r>
              <w:rPr>
                <w:b/>
              </w:rPr>
              <w:t>D</w:t>
            </w:r>
            <w:r w:rsidR="00F34216">
              <w:rPr>
                <w:b/>
              </w:rPr>
              <w:t>oporučený ročník / semestr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62F1" w:rsidRDefault="00F562F1" w:rsidP="002E0E63"/>
        </w:tc>
      </w:tr>
      <w:tr w:rsidR="002E0E63" w:rsidTr="002E0E63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70" w:type="dxa"/>
            </w:tcMar>
            <w:vAlign w:val="center"/>
          </w:tcPr>
          <w:p w:rsidR="002E0E63" w:rsidRDefault="002E0E63" w:rsidP="002E0E63">
            <w:pPr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E0E63" w:rsidRDefault="002E0E63" w:rsidP="002E0E63">
            <w:r>
              <w:t>26p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70" w:type="dxa"/>
            </w:tcMar>
            <w:vAlign w:val="center"/>
          </w:tcPr>
          <w:p w:rsidR="002E0E63" w:rsidRDefault="002E0E63" w:rsidP="002E0E63">
            <w:pPr>
              <w:rPr>
                <w:b/>
              </w:rPr>
            </w:pPr>
            <w:r>
              <w:rPr>
                <w:b/>
              </w:rPr>
              <w:t>Hodin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0E63" w:rsidRDefault="002E0E63" w:rsidP="002E0E63">
            <w:r>
              <w:t>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2E0E63" w:rsidRDefault="002E0E63" w:rsidP="002E0E63">
            <w:pPr>
              <w:rPr>
                <w:b/>
              </w:rPr>
            </w:pPr>
            <w:r>
              <w:rPr>
                <w:b/>
              </w:rPr>
              <w:t>Kreditů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E0E63" w:rsidRDefault="002E0E63" w:rsidP="002E0E63"/>
        </w:tc>
      </w:tr>
      <w:tr w:rsidR="002E0E63" w:rsidTr="005841D1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70" w:type="dxa"/>
            </w:tcMar>
            <w:vAlign w:val="center"/>
          </w:tcPr>
          <w:p w:rsidR="002E0E63" w:rsidRPr="002E0E63" w:rsidRDefault="002E0E63" w:rsidP="002E0E63">
            <w:pPr>
              <w:rPr>
                <w:b/>
              </w:rPr>
            </w:pPr>
            <w:r w:rsidRPr="002E0E63">
              <w:rPr>
                <w:b/>
              </w:rPr>
              <w:t>Prerekvizity, korekvizity, ekvivalence</w:t>
            </w:r>
          </w:p>
        </w:tc>
      </w:tr>
      <w:tr w:rsidR="002E0E63" w:rsidTr="007F7900">
        <w:trPr>
          <w:trHeight w:val="505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E0E63" w:rsidRPr="002E0E63" w:rsidRDefault="002E0E63" w:rsidP="00F34216">
            <w:pPr>
              <w:jc w:val="both"/>
              <w:rPr>
                <w:b/>
              </w:rPr>
            </w:pPr>
            <w:r w:rsidRPr="002E0E63">
              <w:rPr>
                <w:b/>
              </w:rPr>
              <w:t>Prerekvizity</w:t>
            </w:r>
            <w:r>
              <w:t xml:space="preserve"> </w:t>
            </w:r>
            <w:r>
              <w:t>Znalosti základů funkcionální analýzy, rovnic matematické fyziky a moderní teorie par</w:t>
            </w:r>
            <w:r>
              <w:t>ciálních diferenciálních rovnic</w:t>
            </w:r>
            <w:bookmarkStart w:id="0" w:name="_GoBack"/>
            <w:bookmarkEnd w:id="0"/>
          </w:p>
        </w:tc>
      </w:tr>
      <w:tr w:rsidR="002E0E63" w:rsidTr="002E0E63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70" w:type="dxa"/>
            </w:tcMar>
            <w:vAlign w:val="center"/>
          </w:tcPr>
          <w:p w:rsidR="002E0E63" w:rsidRDefault="002E0E63" w:rsidP="002E0E63">
            <w:pPr>
              <w:rPr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E0E63" w:rsidRDefault="002E0E63" w:rsidP="002E0E63">
            <w:r>
              <w:t>Zkouška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70" w:type="dxa"/>
            </w:tcMar>
            <w:vAlign w:val="center"/>
          </w:tcPr>
          <w:p w:rsidR="002E0E63" w:rsidRDefault="002E0E63" w:rsidP="002E0E63">
            <w:pPr>
              <w:rPr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2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0E63" w:rsidRDefault="002E0E63" w:rsidP="002E0E63">
            <w:r>
              <w:t>Přednáška</w:t>
            </w:r>
          </w:p>
        </w:tc>
      </w:tr>
      <w:tr w:rsidR="002E0E63" w:rsidTr="00DC0A59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70" w:type="dxa"/>
            </w:tcMar>
            <w:vAlign w:val="center"/>
          </w:tcPr>
          <w:p w:rsidR="002E0E63" w:rsidRDefault="002E0E63" w:rsidP="002E0E63">
            <w:r>
              <w:rPr>
                <w:b/>
              </w:rPr>
              <w:t>Forma způsobu ověření studijních výsledků a další požadavky na studenta</w:t>
            </w:r>
          </w:p>
        </w:tc>
      </w:tr>
      <w:tr w:rsidR="002E0E63" w:rsidTr="002E0E63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E0E63" w:rsidRDefault="002E0E63" w:rsidP="002E0E63">
            <w:r>
              <w:t>Písemná a ústní zkouška</w:t>
            </w:r>
          </w:p>
        </w:tc>
      </w:tr>
      <w:tr w:rsidR="002E0E63" w:rsidTr="002E0E63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70" w:type="dxa"/>
            </w:tcMar>
            <w:vAlign w:val="center"/>
          </w:tcPr>
          <w:p w:rsidR="002E0E63" w:rsidRDefault="002E0E63" w:rsidP="002E0E63">
            <w:pPr>
              <w:rPr>
                <w:b/>
              </w:rPr>
            </w:pPr>
            <w:r>
              <w:rPr>
                <w:b/>
              </w:rPr>
              <w:t>Garant předmětu</w:t>
            </w:r>
          </w:p>
        </w:tc>
        <w:tc>
          <w:tcPr>
            <w:tcW w:w="60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E0E63" w:rsidRDefault="002E0E63" w:rsidP="002E0E63">
            <w:r>
              <w:t>doc. Ing. Václav Klika, PhD.</w:t>
            </w:r>
          </w:p>
        </w:tc>
      </w:tr>
      <w:tr w:rsidR="002E0E63" w:rsidTr="002E0E63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70" w:type="dxa"/>
            </w:tcMar>
            <w:vAlign w:val="center"/>
          </w:tcPr>
          <w:p w:rsidR="002E0E63" w:rsidRDefault="002E0E63" w:rsidP="002E0E63">
            <w:pPr>
              <w:rPr>
                <w:b/>
              </w:rPr>
            </w:pPr>
            <w:r>
              <w:rPr>
                <w:b/>
              </w:rPr>
              <w:t>Zapojení garanta do výuky předmětu</w:t>
            </w:r>
          </w:p>
        </w:tc>
        <w:tc>
          <w:tcPr>
            <w:tcW w:w="60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E0E63" w:rsidRDefault="002E0E63" w:rsidP="002E0E63">
            <w:r>
              <w:t>Přednášející, zkoušející</w:t>
            </w:r>
          </w:p>
        </w:tc>
      </w:tr>
      <w:tr w:rsidR="002E0E63" w:rsidTr="006251DF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70" w:type="dxa"/>
            </w:tcMar>
            <w:vAlign w:val="center"/>
          </w:tcPr>
          <w:p w:rsidR="002E0E63" w:rsidRDefault="002E0E63" w:rsidP="002E0E63">
            <w:r>
              <w:rPr>
                <w:b/>
              </w:rPr>
              <w:t>Vyučující</w:t>
            </w:r>
          </w:p>
        </w:tc>
      </w:tr>
      <w:tr w:rsidR="002E0E63" w:rsidTr="002E0E63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E0E63" w:rsidRDefault="002E0E63" w:rsidP="002E0E63">
            <w:r>
              <w:t>doc. Ing. Václav Klika, PhD.</w:t>
            </w:r>
          </w:p>
        </w:tc>
      </w:tr>
      <w:tr w:rsidR="002E0E63" w:rsidTr="007E1D55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7CAAC"/>
            <w:tcMar>
              <w:left w:w="70" w:type="dxa"/>
            </w:tcMar>
            <w:vAlign w:val="center"/>
          </w:tcPr>
          <w:p w:rsidR="002E0E63" w:rsidRDefault="002E0E63" w:rsidP="002E0E63">
            <w:r>
              <w:rPr>
                <w:b/>
              </w:rPr>
              <w:t>Stručná anotace předmětu</w:t>
            </w:r>
          </w:p>
        </w:tc>
      </w:tr>
      <w:tr w:rsidR="002E0E63" w:rsidTr="0033780A">
        <w:trPr>
          <w:trHeight w:val="3898"/>
          <w:jc w:val="center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2E0E63" w:rsidRPr="0033780A" w:rsidRDefault="002E0E63" w:rsidP="0033780A">
            <w:pPr>
              <w:jc w:val="both"/>
            </w:pPr>
            <w:r w:rsidRPr="0033780A">
              <w:t>Pro systém lineárních obyčejných diferenciálních rovnic je známo, že řešení j</w:t>
            </w:r>
            <w:r w:rsidR="0033780A">
              <w:t>e získatelné ve tvaru exponenciá</w:t>
            </w:r>
            <w:r w:rsidRPr="0033780A">
              <w:t>ly matice. Rozšíření na parciální diferenciální rovnice však není přímočaré. Např</w:t>
            </w:r>
            <w:r w:rsidR="0033780A">
              <w:t>íklad</w:t>
            </w:r>
            <w:r w:rsidRPr="0033780A">
              <w:t xml:space="preserve"> pro vedení tepla je matice nahrazena </w:t>
            </w:r>
            <w:proofErr w:type="spellStart"/>
            <w:r w:rsidRPr="0033780A">
              <w:t>Laplaceovým</w:t>
            </w:r>
            <w:proofErr w:type="spellEnd"/>
            <w:r w:rsidRPr="0033780A">
              <w:t xml:space="preserve"> operátorem, který je neomezený a exponenciální řada tedy ani nekonvergu</w:t>
            </w:r>
            <w:r w:rsidR="0033780A">
              <w:t>j</w:t>
            </w:r>
            <w:r w:rsidRPr="0033780A">
              <w:t>e. Navíc řešení lineární rovnice vedení tepla obecně existují jen dopředu v</w:t>
            </w:r>
            <w:r w:rsidR="0033780A">
              <w:t> </w:t>
            </w:r>
            <w:r w:rsidRPr="0033780A">
              <w:t>čase</w:t>
            </w:r>
            <w:r w:rsidR="0033780A">
              <w:t>,</w:t>
            </w:r>
            <w:r w:rsidRPr="0033780A">
              <w:t xml:space="preserve"> a tedy řešící operátor může být maximálně </w:t>
            </w:r>
            <w:proofErr w:type="spellStart"/>
            <w:r w:rsidRPr="0033780A">
              <w:t>semigrupou</w:t>
            </w:r>
            <w:proofErr w:type="spellEnd"/>
            <w:r w:rsidRPr="0033780A">
              <w:t>.</w:t>
            </w:r>
          </w:p>
          <w:p w:rsidR="002E0E63" w:rsidRDefault="002E0E63" w:rsidP="0033780A">
            <w:pPr>
              <w:jc w:val="both"/>
            </w:pPr>
            <w:r w:rsidRPr="0033780A">
              <w:t>Cílem předmětu je poskytnout matematický základ pro tento typ problémů a rozšířit pojem stability z obyčejných diferenciálních rovnic, který opět bude dán do souvislosti se spektrem lineárního operátoru.</w:t>
            </w:r>
          </w:p>
          <w:p w:rsidR="0033780A" w:rsidRPr="0033780A" w:rsidRDefault="0033780A" w:rsidP="0033780A">
            <w:pPr>
              <w:jc w:val="both"/>
              <w:rPr>
                <w:sz w:val="4"/>
                <w:szCs w:val="4"/>
              </w:rPr>
            </w:pPr>
          </w:p>
          <w:p w:rsidR="002E0E63" w:rsidRDefault="0033780A" w:rsidP="0033780A">
            <w:pPr>
              <w:rPr>
                <w:b/>
              </w:rPr>
            </w:pPr>
            <w:r>
              <w:rPr>
                <w:b/>
              </w:rPr>
              <w:t>Osnova</w:t>
            </w:r>
          </w:p>
          <w:p w:rsidR="0033780A" w:rsidRPr="0033780A" w:rsidRDefault="0033780A" w:rsidP="0033780A">
            <w:pPr>
              <w:rPr>
                <w:b/>
                <w:sz w:val="4"/>
                <w:szCs w:val="4"/>
              </w:rPr>
            </w:pPr>
          </w:p>
          <w:p w:rsidR="0033780A" w:rsidRPr="0033780A" w:rsidRDefault="002E0E63" w:rsidP="0033780A">
            <w:pPr>
              <w:pStyle w:val="Odstavecseseznamem"/>
              <w:numPr>
                <w:ilvl w:val="0"/>
                <w:numId w:val="6"/>
              </w:numPr>
              <w:ind w:left="606" w:hanging="284"/>
            </w:pPr>
            <w:proofErr w:type="spellStart"/>
            <w:r w:rsidRPr="0033780A">
              <w:t>Exponenciela</w:t>
            </w:r>
            <w:proofErr w:type="spellEnd"/>
            <w:r w:rsidRPr="0033780A">
              <w:t xml:space="preserve"> matice, omezeného operátoru a možná rozšíření na neomezené operátory</w:t>
            </w:r>
            <w:r w:rsidR="0033780A" w:rsidRPr="0033780A">
              <w:t>.</w:t>
            </w:r>
          </w:p>
          <w:p w:rsidR="0033780A" w:rsidRPr="0033780A" w:rsidRDefault="0033780A" w:rsidP="0033780A">
            <w:pPr>
              <w:pStyle w:val="Odstavecseseznamem"/>
              <w:numPr>
                <w:ilvl w:val="0"/>
                <w:numId w:val="6"/>
              </w:numPr>
              <w:ind w:left="606" w:hanging="284"/>
            </w:pPr>
            <w:r w:rsidRPr="0033780A">
              <w:t xml:space="preserve">Silně spojité </w:t>
            </w:r>
            <w:proofErr w:type="spellStart"/>
            <w:r w:rsidRPr="0033780A">
              <w:t>semigrupy</w:t>
            </w:r>
            <w:proofErr w:type="spellEnd"/>
            <w:r w:rsidRPr="0033780A">
              <w:t>.</w:t>
            </w:r>
          </w:p>
          <w:p w:rsidR="0033780A" w:rsidRPr="0033780A" w:rsidRDefault="002E0E63" w:rsidP="0033780A">
            <w:pPr>
              <w:pStyle w:val="Odstavecseseznamem"/>
              <w:numPr>
                <w:ilvl w:val="0"/>
                <w:numId w:val="6"/>
              </w:numPr>
              <w:ind w:left="606" w:hanging="284"/>
            </w:pPr>
            <w:r w:rsidRPr="0033780A">
              <w:t xml:space="preserve">Stejnoměrně spojité </w:t>
            </w:r>
            <w:proofErr w:type="spellStart"/>
            <w:r w:rsidRPr="0033780A">
              <w:t>se</w:t>
            </w:r>
            <w:r w:rsidR="0033780A" w:rsidRPr="0033780A">
              <w:t>migrupy</w:t>
            </w:r>
            <w:proofErr w:type="spellEnd"/>
            <w:r w:rsidR="0033780A" w:rsidRPr="0033780A">
              <w:t>.</w:t>
            </w:r>
          </w:p>
          <w:p w:rsidR="0033780A" w:rsidRPr="0033780A" w:rsidRDefault="0033780A" w:rsidP="0033780A">
            <w:pPr>
              <w:pStyle w:val="Odstavecseseznamem"/>
              <w:numPr>
                <w:ilvl w:val="0"/>
                <w:numId w:val="6"/>
              </w:numPr>
              <w:ind w:left="606" w:hanging="284"/>
            </w:pPr>
            <w:r w:rsidRPr="0033780A">
              <w:t xml:space="preserve">Analytické </w:t>
            </w:r>
            <w:proofErr w:type="spellStart"/>
            <w:r w:rsidRPr="0033780A">
              <w:t>semigrupy</w:t>
            </w:r>
            <w:proofErr w:type="spellEnd"/>
            <w:r w:rsidRPr="0033780A">
              <w:t>.</w:t>
            </w:r>
          </w:p>
          <w:p w:rsidR="0033780A" w:rsidRPr="0033780A" w:rsidRDefault="002E0E63" w:rsidP="0033780A">
            <w:pPr>
              <w:pStyle w:val="Odstavecseseznamem"/>
              <w:numPr>
                <w:ilvl w:val="0"/>
                <w:numId w:val="6"/>
              </w:numPr>
              <w:ind w:left="606" w:hanging="284"/>
            </w:pPr>
            <w:r w:rsidRPr="0033780A">
              <w:t xml:space="preserve">Generátory </w:t>
            </w:r>
            <w:proofErr w:type="spellStart"/>
            <w:r w:rsidRPr="0033780A">
              <w:t>s</w:t>
            </w:r>
            <w:r w:rsidR="0033780A" w:rsidRPr="0033780A">
              <w:t>emigrup</w:t>
            </w:r>
            <w:proofErr w:type="spellEnd"/>
            <w:r w:rsidR="0033780A" w:rsidRPr="0033780A">
              <w:t>.</w:t>
            </w:r>
          </w:p>
          <w:p w:rsidR="0033780A" w:rsidRPr="0033780A" w:rsidRDefault="0033780A" w:rsidP="0033780A">
            <w:pPr>
              <w:pStyle w:val="Odstavecseseznamem"/>
              <w:numPr>
                <w:ilvl w:val="0"/>
                <w:numId w:val="6"/>
              </w:numPr>
              <w:ind w:left="606" w:hanging="284"/>
            </w:pPr>
            <w:proofErr w:type="spellStart"/>
            <w:r w:rsidRPr="0033780A">
              <w:t>Hille-Yoshida</w:t>
            </w:r>
            <w:proofErr w:type="spellEnd"/>
            <w:r w:rsidRPr="0033780A">
              <w:t xml:space="preserve"> teorém.</w:t>
            </w:r>
          </w:p>
          <w:p w:rsidR="0033780A" w:rsidRPr="0033780A" w:rsidRDefault="002E0E63" w:rsidP="0033780A">
            <w:pPr>
              <w:pStyle w:val="Odstavecseseznamem"/>
              <w:numPr>
                <w:ilvl w:val="0"/>
                <w:numId w:val="6"/>
              </w:numPr>
              <w:ind w:left="606" w:hanging="284"/>
            </w:pPr>
            <w:proofErr w:type="spellStart"/>
            <w:r w:rsidRPr="0033780A">
              <w:t>Lumer-Philli</w:t>
            </w:r>
            <w:r w:rsidR="0033780A" w:rsidRPr="0033780A">
              <w:t>ps</w:t>
            </w:r>
            <w:proofErr w:type="spellEnd"/>
            <w:r w:rsidR="0033780A" w:rsidRPr="0033780A">
              <w:t xml:space="preserve"> teorém.</w:t>
            </w:r>
          </w:p>
          <w:p w:rsidR="0033780A" w:rsidRPr="0033780A" w:rsidRDefault="0033780A" w:rsidP="0033780A">
            <w:pPr>
              <w:pStyle w:val="Odstavecseseznamem"/>
              <w:numPr>
                <w:ilvl w:val="0"/>
                <w:numId w:val="6"/>
              </w:numPr>
              <w:ind w:left="606" w:hanging="284"/>
            </w:pPr>
            <w:r w:rsidRPr="0033780A">
              <w:t>Koncepty stability.</w:t>
            </w:r>
          </w:p>
          <w:p w:rsidR="002E0E63" w:rsidRDefault="002E0E63" w:rsidP="0033780A">
            <w:pPr>
              <w:pStyle w:val="Odstavecseseznamem"/>
              <w:numPr>
                <w:ilvl w:val="0"/>
                <w:numId w:val="6"/>
              </w:numPr>
              <w:ind w:left="606" w:hanging="284"/>
            </w:pPr>
            <w:r w:rsidRPr="0033780A">
              <w:t xml:space="preserve">Aplikace na vybrané problémy: souvislost spektra a stability, </w:t>
            </w:r>
            <w:proofErr w:type="spellStart"/>
            <w:r w:rsidRPr="0033780A">
              <w:t>exponenciela</w:t>
            </w:r>
            <w:proofErr w:type="spellEnd"/>
            <w:r w:rsidRPr="0033780A">
              <w:t xml:space="preserve"> neomezeného operátoru</w:t>
            </w:r>
            <w:r w:rsidR="0033780A" w:rsidRPr="0033780A">
              <w:t>.</w:t>
            </w:r>
          </w:p>
        </w:tc>
      </w:tr>
      <w:tr w:rsidR="002E0E63" w:rsidTr="007E1D55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70" w:type="dxa"/>
            </w:tcMar>
            <w:vAlign w:val="center"/>
          </w:tcPr>
          <w:p w:rsidR="002E0E63" w:rsidRDefault="002E0E63" w:rsidP="002E0E63">
            <w:r>
              <w:rPr>
                <w:b/>
              </w:rPr>
              <w:t>Studijní literatura a studijní pomůcky</w:t>
            </w:r>
          </w:p>
        </w:tc>
      </w:tr>
      <w:tr w:rsidR="002E0E63" w:rsidTr="0033780A">
        <w:trPr>
          <w:trHeight w:val="1775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E0E63" w:rsidRDefault="007E1D55" w:rsidP="007E1D55">
            <w:pPr>
              <w:spacing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Povinná literatura</w:t>
            </w:r>
          </w:p>
          <w:p w:rsidR="002E0E63" w:rsidRDefault="002E0E63" w:rsidP="007E1D55">
            <w:pPr>
              <w:pStyle w:val="Nadpis1"/>
              <w:numPr>
                <w:ilvl w:val="0"/>
                <w:numId w:val="1"/>
              </w:numPr>
              <w:tabs>
                <w:tab w:val="left" w:pos="360"/>
              </w:tabs>
              <w:spacing w:before="0"/>
              <w:ind w:left="322" w:hanging="284"/>
              <w:jc w:val="both"/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 w:eastAsia="en-US"/>
              </w:rPr>
              <w:t>K</w:t>
            </w:r>
            <w:r w:rsidR="007E1D55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 w:eastAsia="en-US"/>
              </w:rPr>
              <w:t>J</w:t>
            </w:r>
            <w:r w:rsidR="007E1D55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 w:eastAsia="en-US"/>
              </w:rPr>
              <w:t xml:space="preserve">. Engel,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 w:eastAsia="en-US"/>
              </w:rPr>
              <w:t>R</w:t>
            </w:r>
            <w:r w:rsidR="007E1D55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="007E1D55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 w:eastAsia="en-US"/>
              </w:rPr>
              <w:t>Nagl</w:t>
            </w:r>
            <w:proofErr w:type="spellEnd"/>
            <w:r w:rsidR="007E1D55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 w:eastAsia="en-US"/>
              </w:rPr>
              <w:t>: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 w:eastAsia="en-US"/>
              </w:rPr>
              <w:t xml:space="preserve"> A Short Course on Operator Semigroups, Springer, New York, 2006.</w:t>
            </w:r>
          </w:p>
          <w:p w:rsidR="002E0E63" w:rsidRDefault="007E1D55" w:rsidP="007E1D55">
            <w:pPr>
              <w:pStyle w:val="Nadpis1"/>
              <w:numPr>
                <w:ilvl w:val="0"/>
                <w:numId w:val="1"/>
              </w:numPr>
              <w:tabs>
                <w:tab w:val="left" w:pos="360"/>
              </w:tabs>
              <w:spacing w:before="0"/>
              <w:ind w:left="322" w:hanging="284"/>
              <w:jc w:val="both"/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 w:eastAsia="en-US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 w:eastAsia="en-US"/>
              </w:rPr>
              <w:t>Pazy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 w:eastAsia="en-US"/>
              </w:rPr>
              <w:t>:</w:t>
            </w:r>
            <w:r w:rsidR="002E0E63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 w:eastAsia="en-US"/>
              </w:rPr>
              <w:t xml:space="preserve"> Semigroups of Linear Operators and Applications to Partial Differential Equations, Springer, New York, 1983.</w:t>
            </w:r>
          </w:p>
          <w:p w:rsidR="002E0E63" w:rsidRDefault="002E0E63" w:rsidP="007E1D55">
            <w:pPr>
              <w:spacing w:after="60"/>
              <w:jc w:val="both"/>
            </w:pPr>
            <w:r>
              <w:rPr>
                <w:b/>
                <w:bCs/>
              </w:rPr>
              <w:t>Doporučená literatura</w:t>
            </w:r>
          </w:p>
          <w:p w:rsidR="002E0E63" w:rsidRDefault="002E0E63" w:rsidP="007E1D55">
            <w:pPr>
              <w:pStyle w:val="Nadpis1"/>
              <w:numPr>
                <w:ilvl w:val="0"/>
                <w:numId w:val="1"/>
              </w:numPr>
              <w:tabs>
                <w:tab w:val="left" w:pos="360"/>
              </w:tabs>
              <w:spacing w:before="0"/>
              <w:ind w:left="322" w:hanging="284"/>
              <w:jc w:val="both"/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 w:eastAsia="en-US"/>
              </w:rPr>
              <w:t>L</w:t>
            </w:r>
            <w:r w:rsidR="007E1D55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 w:eastAsia="en-US"/>
              </w:rPr>
              <w:t>C</w:t>
            </w:r>
            <w:r w:rsidR="007E1D55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 w:eastAsia="en-US"/>
              </w:rPr>
              <w:t>. Evans: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 w:eastAsia="en-US"/>
              </w:rPr>
              <w:t xml:space="preserve"> Partial Differential Equations, 2nd ed., Amer. Mat. 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 w:eastAsia="en-US"/>
              </w:rPr>
              <w:t>Soc., Providence, 2010.</w:t>
            </w:r>
            <w:proofErr w:type="gramEnd"/>
          </w:p>
        </w:tc>
      </w:tr>
    </w:tbl>
    <w:p w:rsidR="00F562F1" w:rsidRDefault="00F562F1"/>
    <w:sectPr w:rsidR="00F562F1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34216">
      <w:r>
        <w:separator/>
      </w:r>
    </w:p>
  </w:endnote>
  <w:endnote w:type="continuationSeparator" w:id="0">
    <w:p w:rsidR="00000000" w:rsidRDefault="00F3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2F1" w:rsidRDefault="00F3421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562F1" w:rsidRDefault="00F34216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E0E6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0;margin-top:.05pt;width:5.25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/yI0wEAAAoEAAAOAAAAZHJzL2Uyb0RvYy54bWysU9tu2zAMfR+wfxD0vjgp0iIw4hTDigwD&#10;hq1Ytw+QZSkWIIkCpcbO34+SHXeXpw57kSmKh+Q5pPf3o7PsrDAa8A3frNacKS+hM/7U8B/fj+92&#10;nMUkfCcseNXwi4r8/vD2zX4ItbqBHmynkFESH+shNLxPKdRVFWWvnIgrCMrTowZ0ItEVT1WHYqDs&#10;zlY36/VdNQB2AUGqGMn7MD3yQ8mvtZLpq9ZRJWYbTr2lcmI523xWh72oTyhCb+TchviHLpwwnoou&#10;qR5EEuwZzV+pnJEIEXRaSXAVaG2kKhyIzWb9B5unXgRVuJA4MSwyxf+XVn45PyIzHc2OMy8cjeiI&#10;9NlkZYYQawp4Co843yKZmeao0eUvEWBjUfOyqKnGxCQ57253O5Jc0stme7vdFrGrF2zAmD4qcCwb&#10;DUeaVZFQnD/HRPUo9BqSS3k4GmvLvKz/zUGB2VPldqcGi5UuVuU4678pTRRLn9kRJZ7aDxbZtAe0&#10;qNTmdRtKMgLkQE0FX4mdIRmtyvq9Er+ASn3wacE74wHzVCaeE7tMNI3tOI+nhe5C47SfPK1IXver&#10;gVejnY2iQ3j/nEjVInbONMHnCrRwZQbzz5E3+td7iXr5hQ8/AQAA//8DAFBLAwQUAAYACAAAACEA&#10;F7BCo9oAAAADAQAADwAAAGRycy9kb3ducmV2LnhtbEyPwU7DMBBE70j9B2srcUGt0yBQG+JUVaXe&#10;kFBTDnDbxksciNdR7DaBr8c5wXFnRjNv8+1oW3Gl3jeOFayWCQjiyumGawWvp8NiDcIHZI2tY1Lw&#10;TR62xewmx0y7gY90LUMtYgn7DBWYELpMSl8ZsuiXriOO3ofrLYZ49rXUPQ6x3LYyTZJHabHhuGCw&#10;o72h6qu8WAWHl7eG+Ece7zbrwX1W6Xtpnjulbufj7glEoDH8hWHCj+hQRKazu7D2olUQHwmTKiYv&#10;eQBxVpDer0AWufzPXvwCAAD//wMAUEsBAi0AFAAGAAgAAAAhALaDOJL+AAAA4QEAABMAAAAAAAAA&#10;AAAAAAAAAAAAAFtDb250ZW50X1R5cGVzXS54bWxQSwECLQAUAAYACAAAACEAOP0h/9YAAACUAQAA&#10;CwAAAAAAAAAAAAAAAAAvAQAAX3JlbHMvLnJlbHNQSwECLQAUAAYACAAAACEAgZv8iNMBAAAKBAAA&#10;DgAAAAAAAAAAAAAAAAAuAgAAZHJzL2Uyb0RvYy54bWxQSwECLQAUAAYACAAAACEAF7BCo9oAAAAD&#10;AQAADwAAAAAAAAAAAAAAAAAtBAAAZHJzL2Rvd25yZXYueG1sUEsFBgAAAAAEAAQA8wAAADQFAAAA&#10;AA==&#10;" filled="f" stroked="f">
              <v:textbox style="mso-fit-shape-to-text:t" inset="0,0,0,0">
                <w:txbxContent>
                  <w:p w:rsidR="00F562F1" w:rsidRDefault="00F34216">
                    <w:pPr>
                      <w:pStyle w:val="Zpat"/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E0E6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34216">
      <w:r>
        <w:separator/>
      </w:r>
    </w:p>
  </w:footnote>
  <w:footnote w:type="continuationSeparator" w:id="0">
    <w:p w:rsidR="00000000" w:rsidRDefault="00F34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5E62"/>
    <w:multiLevelType w:val="hybridMultilevel"/>
    <w:tmpl w:val="1A6AC200"/>
    <w:lvl w:ilvl="0" w:tplc="C96A5B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92E09"/>
    <w:multiLevelType w:val="hybridMultilevel"/>
    <w:tmpl w:val="B024C1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57588"/>
    <w:multiLevelType w:val="hybridMultilevel"/>
    <w:tmpl w:val="C8E23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669C1"/>
    <w:multiLevelType w:val="hybridMultilevel"/>
    <w:tmpl w:val="E35496AA"/>
    <w:lvl w:ilvl="0" w:tplc="C96A5B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76877"/>
    <w:multiLevelType w:val="hybridMultilevel"/>
    <w:tmpl w:val="B2504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D066A"/>
    <w:multiLevelType w:val="hybridMultilevel"/>
    <w:tmpl w:val="D26C11E8"/>
    <w:lvl w:ilvl="0" w:tplc="C96A5B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F1"/>
    <w:rsid w:val="002E0E63"/>
    <w:rsid w:val="0033780A"/>
    <w:rsid w:val="007E1D55"/>
    <w:rsid w:val="007F7900"/>
    <w:rsid w:val="00CF196A"/>
    <w:rsid w:val="00F34216"/>
    <w:rsid w:val="00F5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paragraph" w:styleId="Nadpis1">
    <w:name w:val="heading 1"/>
    <w:basedOn w:val="Normln"/>
    <w:link w:val="Nadpis1Char"/>
    <w:uiPriority w:val="9"/>
    <w:qFormat/>
    <w:locked/>
    <w:rsid w:val="00E9428F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E9428F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Siln">
    <w:name w:val="Strong"/>
    <w:uiPriority w:val="22"/>
    <w:qFormat/>
    <w:locked/>
    <w:rsid w:val="00E9428F"/>
    <w:rPr>
      <w:b/>
      <w:bCs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337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paragraph" w:styleId="Nadpis1">
    <w:name w:val="heading 1"/>
    <w:basedOn w:val="Normln"/>
    <w:link w:val="Nadpis1Char"/>
    <w:uiPriority w:val="9"/>
    <w:qFormat/>
    <w:locked/>
    <w:rsid w:val="00E9428F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E9428F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Siln">
    <w:name w:val="Strong"/>
    <w:uiPriority w:val="22"/>
    <w:qFormat/>
    <w:locked/>
    <w:rsid w:val="00E9428F"/>
    <w:rPr>
      <w:b/>
      <w:bCs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337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FJFI ČVUT v Praze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Masáková</dc:creator>
  <cp:lastModifiedBy>Kateřina Medková</cp:lastModifiedBy>
  <cp:revision>7</cp:revision>
  <dcterms:created xsi:type="dcterms:W3CDTF">2018-05-09T07:43:00Z</dcterms:created>
  <dcterms:modified xsi:type="dcterms:W3CDTF">2018-05-09T07:53:00Z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FJFI ČVUT v Praze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